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7D" w:rsidRPr="00BB13A2" w:rsidRDefault="00F96B7D" w:rsidP="00BB13A2">
      <w:pPr>
        <w:rPr>
          <w:b/>
          <w:sz w:val="24"/>
          <w:lang w:val="en-US"/>
        </w:rPr>
      </w:pPr>
      <w:r w:rsidRPr="00BB13A2">
        <w:rPr>
          <w:b/>
          <w:sz w:val="24"/>
          <w:lang w:val="en-US"/>
        </w:rPr>
        <w:t xml:space="preserve">Food System Dynamics Press release </w:t>
      </w:r>
    </w:p>
    <w:p w:rsidR="00F96B7D" w:rsidRDefault="00F96B7D" w:rsidP="002E1551">
      <w:p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T</w:t>
      </w:r>
      <w:r w:rsidRPr="00BB13A2">
        <w:rPr>
          <w:sz w:val="24"/>
          <w:lang w:val="en-US"/>
        </w:rPr>
        <w:t xml:space="preserve">he Food Science cluster of </w:t>
      </w:r>
      <w:smartTag w:uri="urn:schemas-microsoft-com:office:smarttags" w:element="PlaceName">
        <w:smartTag w:uri="urn:schemas-microsoft-com:office:smarttags" w:element="place">
          <w:r w:rsidRPr="00BB13A2">
            <w:rPr>
              <w:sz w:val="24"/>
              <w:lang w:val="en-US"/>
            </w:rPr>
            <w:t>Wageningen</w:t>
          </w:r>
        </w:smartTag>
        <w:r w:rsidRPr="00BB13A2">
          <w:rPr>
            <w:sz w:val="24"/>
            <w:lang w:val="en-US"/>
          </w:rPr>
          <w:t xml:space="preserve"> </w:t>
        </w:r>
        <w:smartTag w:uri="urn:schemas-microsoft-com:office:smarttags" w:element="PlaceType">
          <w:r w:rsidRPr="00BB13A2">
            <w:rPr>
              <w:sz w:val="24"/>
              <w:lang w:val="en-US"/>
            </w:rPr>
            <w:t>University</w:t>
          </w:r>
        </w:smartTag>
      </w:smartTag>
      <w:r w:rsidRPr="00BB13A2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decided </w:t>
      </w:r>
      <w:r w:rsidRPr="00BB13A2">
        <w:rPr>
          <w:sz w:val="24"/>
          <w:lang w:val="en-US"/>
        </w:rPr>
        <w:t xml:space="preserve">to integrate their expertise and </w:t>
      </w:r>
      <w:r>
        <w:rPr>
          <w:sz w:val="24"/>
          <w:lang w:val="en-US"/>
        </w:rPr>
        <w:t xml:space="preserve">to further </w:t>
      </w:r>
      <w:r w:rsidRPr="00BB13A2">
        <w:rPr>
          <w:sz w:val="24"/>
          <w:lang w:val="en-US"/>
        </w:rPr>
        <w:t xml:space="preserve">consolidate their leading position </w:t>
      </w:r>
      <w:r>
        <w:rPr>
          <w:sz w:val="24"/>
          <w:lang w:val="en-US"/>
        </w:rPr>
        <w:t xml:space="preserve">by setting up a </w:t>
      </w:r>
      <w:r w:rsidRPr="00BB13A2">
        <w:rPr>
          <w:sz w:val="24"/>
          <w:lang w:val="en-US"/>
        </w:rPr>
        <w:t>System Dynamics program</w:t>
      </w:r>
      <w:r>
        <w:rPr>
          <w:sz w:val="24"/>
          <w:lang w:val="en-US"/>
        </w:rPr>
        <w:t xml:space="preserve">. </w:t>
      </w:r>
    </w:p>
    <w:p w:rsidR="00F96B7D" w:rsidRDefault="00F96B7D" w:rsidP="002E1551">
      <w:pPr>
        <w:spacing w:after="0" w:line="240" w:lineRule="auto"/>
        <w:rPr>
          <w:sz w:val="24"/>
          <w:lang w:val="en-US"/>
        </w:rPr>
      </w:pPr>
      <w:bookmarkStart w:id="0" w:name="_GoBack"/>
    </w:p>
    <w:bookmarkEnd w:id="0"/>
    <w:p w:rsidR="00F96B7D" w:rsidRPr="008B197B" w:rsidRDefault="00F96B7D" w:rsidP="002E1551">
      <w:pPr>
        <w:spacing w:after="0" w:line="240" w:lineRule="auto"/>
        <w:rPr>
          <w:rFonts w:ascii="Verdana" w:hAnsi="Verdana"/>
          <w:color w:val="333333"/>
          <w:sz w:val="20"/>
          <w:szCs w:val="20"/>
          <w:lang w:val="en-GB" w:eastAsia="en-GB"/>
        </w:rPr>
      </w:pPr>
      <w:r w:rsidRPr="008B197B">
        <w:rPr>
          <w:rFonts w:ascii="Verdana" w:hAnsi="Verdana"/>
          <w:color w:val="333333"/>
          <w:sz w:val="20"/>
          <w:szCs w:val="20"/>
          <w:lang w:val="en-GB" w:eastAsia="en-GB"/>
        </w:rPr>
        <w:t>Cluster Food Sciences:</w:t>
      </w:r>
    </w:p>
    <w:p w:rsidR="00F96B7D" w:rsidRPr="008B197B" w:rsidRDefault="00F96B7D" w:rsidP="002E15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u w:val="single"/>
          <w:lang w:val="en-GB" w:eastAsia="en-GB"/>
        </w:rPr>
      </w:pPr>
      <w:hyperlink r:id="rId6" w:tooltip="Laboratory of Food Chemistry" w:history="1">
        <w:r w:rsidRPr="008B197B">
          <w:rPr>
            <w:rFonts w:ascii="Verdana" w:hAnsi="Verdana"/>
            <w:color w:val="3A84C1"/>
            <w:sz w:val="20"/>
            <w:szCs w:val="20"/>
            <w:u w:val="single"/>
            <w:lang w:val="en-GB" w:eastAsia="en-GB"/>
          </w:rPr>
          <w:t>Laboratory of Food Chemistry</w:t>
        </w:r>
      </w:hyperlink>
    </w:p>
    <w:p w:rsidR="00F96B7D" w:rsidRPr="008B197B" w:rsidRDefault="00F96B7D" w:rsidP="002E15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u w:val="single"/>
          <w:lang w:val="en-GB" w:eastAsia="en-GB"/>
        </w:rPr>
      </w:pPr>
      <w:hyperlink r:id="rId7" w:tooltip="Laboratory of Food Microbiology" w:history="1">
        <w:r w:rsidRPr="008B197B">
          <w:rPr>
            <w:rFonts w:ascii="Verdana" w:hAnsi="Verdana"/>
            <w:color w:val="3A84C1"/>
            <w:sz w:val="20"/>
            <w:szCs w:val="20"/>
            <w:u w:val="single"/>
            <w:lang w:val="en-GB" w:eastAsia="en-GB"/>
          </w:rPr>
          <w:t>Laboratory of Food Microbiology</w:t>
        </w:r>
      </w:hyperlink>
      <w:r w:rsidRPr="008B197B">
        <w:rPr>
          <w:rFonts w:ascii="Verdana" w:hAnsi="Verdana"/>
          <w:color w:val="333333"/>
          <w:sz w:val="20"/>
          <w:szCs w:val="20"/>
          <w:u w:val="single"/>
          <w:lang w:val="en-GB" w:eastAsia="en-GB"/>
        </w:rPr>
        <w:t xml:space="preserve"> </w:t>
      </w:r>
    </w:p>
    <w:p w:rsidR="00F96B7D" w:rsidRPr="008B197B" w:rsidRDefault="00F96B7D" w:rsidP="002E15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u w:val="single"/>
          <w:lang w:val="en-GB" w:eastAsia="en-GB"/>
        </w:rPr>
      </w:pPr>
      <w:hyperlink r:id="rId8" w:tooltip="Food Process Engineering" w:history="1">
        <w:r w:rsidRPr="008B197B">
          <w:rPr>
            <w:rFonts w:ascii="Verdana" w:hAnsi="Verdana"/>
            <w:color w:val="3A84C1"/>
            <w:sz w:val="20"/>
            <w:szCs w:val="20"/>
            <w:u w:val="single"/>
            <w:lang w:val="en-GB" w:eastAsia="en-GB"/>
          </w:rPr>
          <w:t>Food Process Engineering Group</w:t>
        </w:r>
      </w:hyperlink>
      <w:r w:rsidRPr="008B197B">
        <w:rPr>
          <w:rFonts w:ascii="Verdana" w:hAnsi="Verdana"/>
          <w:color w:val="333333"/>
          <w:sz w:val="20"/>
          <w:szCs w:val="20"/>
          <w:u w:val="single"/>
          <w:lang w:val="en-GB" w:eastAsia="en-GB"/>
        </w:rPr>
        <w:t xml:space="preserve"> </w:t>
      </w:r>
    </w:p>
    <w:p w:rsidR="00F96B7D" w:rsidRPr="008B197B" w:rsidRDefault="00F96B7D" w:rsidP="002E15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u w:val="single"/>
          <w:lang w:val="en-GB" w:eastAsia="en-GB"/>
        </w:rPr>
      </w:pPr>
      <w:hyperlink r:id="rId9" w:tooltip="Food Quality and Design" w:history="1">
        <w:r w:rsidRPr="008B197B">
          <w:rPr>
            <w:rFonts w:ascii="Verdana" w:hAnsi="Verdana"/>
            <w:color w:val="3A84C1"/>
            <w:sz w:val="20"/>
            <w:szCs w:val="20"/>
            <w:u w:val="single"/>
            <w:lang w:val="en-GB" w:eastAsia="en-GB"/>
          </w:rPr>
          <w:t>Food Quality and Design</w:t>
        </w:r>
      </w:hyperlink>
    </w:p>
    <w:p w:rsidR="00F96B7D" w:rsidRPr="008B197B" w:rsidRDefault="00F96B7D" w:rsidP="002E15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u w:val="single"/>
          <w:lang w:val="en-GB" w:eastAsia="en-GB"/>
        </w:rPr>
      </w:pPr>
      <w:hyperlink r:id="rId10" w:tooltip="Physics and Physical Chemistry of Foods" w:history="1">
        <w:r w:rsidRPr="008B197B">
          <w:rPr>
            <w:rFonts w:ascii="Verdana" w:hAnsi="Verdana"/>
            <w:color w:val="3A84C1"/>
            <w:sz w:val="20"/>
            <w:szCs w:val="20"/>
            <w:u w:val="single"/>
            <w:lang w:val="en-GB" w:eastAsia="en-GB"/>
          </w:rPr>
          <w:t>Physics and Physical Chemistry of Foods</w:t>
        </w:r>
      </w:hyperlink>
    </w:p>
    <w:p w:rsidR="00F96B7D" w:rsidRDefault="00F96B7D" w:rsidP="00BB13A2">
      <w:pPr>
        <w:rPr>
          <w:sz w:val="24"/>
          <w:lang w:val="en-US"/>
        </w:rPr>
      </w:pPr>
      <w:r w:rsidRPr="00BB13A2">
        <w:rPr>
          <w:sz w:val="24"/>
          <w:lang w:val="en-US"/>
        </w:rPr>
        <w:t>The Food Sciences cluster has allocated funds for five PhDs project</w:t>
      </w:r>
      <w:r>
        <w:rPr>
          <w:sz w:val="24"/>
          <w:lang w:val="en-US"/>
        </w:rPr>
        <w:t>s</w:t>
      </w:r>
      <w:r w:rsidRPr="00BB13A2">
        <w:rPr>
          <w:sz w:val="24"/>
          <w:lang w:val="en-US"/>
        </w:rPr>
        <w:t xml:space="preserve"> </w:t>
      </w:r>
      <w:r>
        <w:rPr>
          <w:sz w:val="24"/>
          <w:lang w:val="en-US"/>
        </w:rPr>
        <w:t>(one is already assigned)</w:t>
      </w:r>
    </w:p>
    <w:p w:rsidR="00F96B7D" w:rsidRPr="008B197B" w:rsidRDefault="00F96B7D" w:rsidP="003C24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F81BD" w:themeColor="accent1"/>
          <w:sz w:val="20"/>
          <w:szCs w:val="20"/>
          <w:u w:val="single"/>
          <w:lang w:val="en-US"/>
        </w:rPr>
      </w:pPr>
      <w:hyperlink r:id="rId11" w:tooltip="PhD Food Microstructure System Dynamics" w:history="1">
        <w:r w:rsidRPr="008B197B">
          <w:rPr>
            <w:rFonts w:ascii="Verdana" w:hAnsi="Verdana"/>
            <w:bCs/>
            <w:color w:val="4F81BD" w:themeColor="accent1"/>
            <w:sz w:val="20"/>
            <w:szCs w:val="20"/>
            <w:u w:val="single"/>
            <w:lang w:val="en-US"/>
          </w:rPr>
          <w:t>PhD Food Microstructure System Dynamics</w:t>
        </w:r>
        <w:r w:rsidRPr="008B197B">
          <w:rPr>
            <w:rFonts w:ascii="Verdana" w:hAnsi="Verdana"/>
            <w:color w:val="4F81BD" w:themeColor="accent1"/>
            <w:sz w:val="20"/>
            <w:szCs w:val="20"/>
            <w:u w:val="single"/>
            <w:lang w:val="en-US"/>
          </w:rPr>
          <w:t xml:space="preserve"> May 22, 2014</w:t>
        </w:r>
      </w:hyperlink>
    </w:p>
    <w:p w:rsidR="00F96B7D" w:rsidRPr="008B197B" w:rsidRDefault="00F96B7D" w:rsidP="003C24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F81BD" w:themeColor="accent1"/>
          <w:sz w:val="20"/>
          <w:szCs w:val="20"/>
          <w:u w:val="single"/>
          <w:lang w:val="en-US"/>
        </w:rPr>
      </w:pPr>
      <w:hyperlink r:id="rId12" w:tooltip="PhD Food Design System Dynamics" w:history="1">
        <w:r w:rsidRPr="008B197B">
          <w:rPr>
            <w:rFonts w:ascii="Verdana" w:hAnsi="Verdana"/>
            <w:bCs/>
            <w:color w:val="4F81BD" w:themeColor="accent1"/>
            <w:sz w:val="20"/>
            <w:szCs w:val="20"/>
            <w:u w:val="single"/>
            <w:lang w:val="en-US"/>
          </w:rPr>
          <w:t>PhD Food Design System Dynamics</w:t>
        </w:r>
        <w:r w:rsidRPr="008B197B">
          <w:rPr>
            <w:rFonts w:ascii="Verdana" w:hAnsi="Verdana"/>
            <w:color w:val="4F81BD" w:themeColor="accent1"/>
            <w:sz w:val="20"/>
            <w:szCs w:val="20"/>
            <w:u w:val="single"/>
            <w:lang w:val="en-US"/>
          </w:rPr>
          <w:t xml:space="preserve"> May 22, 2014</w:t>
        </w:r>
      </w:hyperlink>
      <w:r w:rsidRPr="008B197B">
        <w:rPr>
          <w:rFonts w:ascii="Verdana" w:hAnsi="Verdana"/>
          <w:color w:val="4F81BD" w:themeColor="accent1"/>
          <w:sz w:val="20"/>
          <w:szCs w:val="20"/>
          <w:u w:val="single"/>
          <w:lang w:val="en-US"/>
        </w:rPr>
        <w:t xml:space="preserve"> </w:t>
      </w:r>
    </w:p>
    <w:p w:rsidR="00F96B7D" w:rsidRPr="008B197B" w:rsidRDefault="00F96B7D" w:rsidP="003C24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F81BD" w:themeColor="accent1"/>
          <w:sz w:val="20"/>
          <w:szCs w:val="20"/>
          <w:u w:val="single"/>
          <w:lang w:val="en-US"/>
        </w:rPr>
      </w:pPr>
      <w:hyperlink r:id="rId13" w:tooltip="PhD Food Safety System Dynamics" w:history="1">
        <w:r w:rsidRPr="008B197B">
          <w:rPr>
            <w:rFonts w:ascii="Verdana" w:hAnsi="Verdana"/>
            <w:bCs/>
            <w:color w:val="4F81BD" w:themeColor="accent1"/>
            <w:sz w:val="20"/>
            <w:szCs w:val="20"/>
            <w:u w:val="single"/>
            <w:lang w:val="en-US"/>
          </w:rPr>
          <w:t>PhD Food S</w:t>
        </w:r>
        <w:r w:rsidRPr="008B197B">
          <w:rPr>
            <w:rFonts w:ascii="Verdana" w:hAnsi="Verdana"/>
            <w:bCs/>
            <w:color w:val="4F81BD" w:themeColor="accent1"/>
            <w:sz w:val="20"/>
            <w:szCs w:val="20"/>
            <w:u w:val="single"/>
            <w:lang w:val="en-US"/>
          </w:rPr>
          <w:t>a</w:t>
        </w:r>
        <w:r w:rsidRPr="008B197B">
          <w:rPr>
            <w:rFonts w:ascii="Verdana" w:hAnsi="Verdana"/>
            <w:bCs/>
            <w:color w:val="4F81BD" w:themeColor="accent1"/>
            <w:sz w:val="20"/>
            <w:szCs w:val="20"/>
            <w:u w:val="single"/>
            <w:lang w:val="en-US"/>
          </w:rPr>
          <w:t>fety System Dynamics</w:t>
        </w:r>
        <w:r w:rsidRPr="008B197B">
          <w:rPr>
            <w:rFonts w:ascii="Verdana" w:hAnsi="Verdana"/>
            <w:color w:val="4F81BD" w:themeColor="accent1"/>
            <w:sz w:val="20"/>
            <w:szCs w:val="20"/>
            <w:u w:val="single"/>
            <w:lang w:val="en-US"/>
          </w:rPr>
          <w:t xml:space="preserve"> May 22, 2014</w:t>
        </w:r>
      </w:hyperlink>
      <w:r w:rsidRPr="008B197B">
        <w:rPr>
          <w:rFonts w:ascii="Verdana" w:hAnsi="Verdana"/>
          <w:color w:val="4F81BD" w:themeColor="accent1"/>
          <w:sz w:val="20"/>
          <w:szCs w:val="20"/>
          <w:u w:val="single"/>
          <w:lang w:val="en-US"/>
        </w:rPr>
        <w:t xml:space="preserve"> </w:t>
      </w:r>
    </w:p>
    <w:p w:rsidR="00F96B7D" w:rsidRPr="008B197B" w:rsidRDefault="00F96B7D" w:rsidP="003C24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4F81BD" w:themeColor="accent1"/>
          <w:sz w:val="20"/>
          <w:szCs w:val="20"/>
          <w:lang w:val="en-US"/>
        </w:rPr>
      </w:pPr>
      <w:hyperlink r:id="rId14" w:tooltip="PhD Food Digestion Dynamics - Molecular Aspects" w:history="1">
        <w:r w:rsidRPr="008B197B">
          <w:rPr>
            <w:rFonts w:ascii="Verdana" w:hAnsi="Verdana"/>
            <w:bCs/>
            <w:color w:val="4F81BD" w:themeColor="accent1"/>
            <w:sz w:val="20"/>
            <w:szCs w:val="20"/>
            <w:u w:val="single"/>
            <w:lang w:val="en-US"/>
          </w:rPr>
          <w:t>PhD Food Digestion Dynamics - Molecular Aspects</w:t>
        </w:r>
        <w:r w:rsidRPr="008B197B">
          <w:rPr>
            <w:rFonts w:ascii="Verdana" w:hAnsi="Verdana"/>
            <w:color w:val="4F81BD" w:themeColor="accent1"/>
            <w:sz w:val="20"/>
            <w:szCs w:val="20"/>
            <w:u w:val="single"/>
            <w:lang w:val="en-US"/>
          </w:rPr>
          <w:t xml:space="preserve"> May 22, 2014</w:t>
        </w:r>
      </w:hyperlink>
    </w:p>
    <w:p w:rsidR="00F96B7D" w:rsidRPr="00BB13A2" w:rsidRDefault="00F96B7D" w:rsidP="00BB13A2">
      <w:pPr>
        <w:rPr>
          <w:sz w:val="24"/>
          <w:lang w:val="en-US"/>
        </w:rPr>
      </w:pPr>
      <w:r>
        <w:rPr>
          <w:sz w:val="24"/>
          <w:lang w:val="en-US"/>
        </w:rPr>
        <w:t xml:space="preserve">The projects are organized along </w:t>
      </w:r>
      <w:r w:rsidRPr="00BB13A2">
        <w:rPr>
          <w:sz w:val="24"/>
          <w:lang w:val="en-US"/>
        </w:rPr>
        <w:t>two main trajectories</w:t>
      </w:r>
    </w:p>
    <w:p w:rsidR="00F96B7D" w:rsidRPr="00BB13A2" w:rsidRDefault="00F96B7D" w:rsidP="00BB13A2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lang w:val="en-US"/>
        </w:rPr>
      </w:pPr>
      <w:r w:rsidRPr="00BB13A2">
        <w:rPr>
          <w:rFonts w:ascii="Calibri" w:hAnsi="Calibri" w:cs="Calibri"/>
          <w:sz w:val="24"/>
          <w:lang w:val="en-US"/>
        </w:rPr>
        <w:t>Food production Dynamics – on the transition from food supply chains that are now effective, but not efficient in the use of resources generating a lot of waste.</w:t>
      </w:r>
    </w:p>
    <w:p w:rsidR="00F96B7D" w:rsidRPr="00BB13A2" w:rsidRDefault="00F96B7D" w:rsidP="00BB13A2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lang w:val="en-US"/>
        </w:rPr>
      </w:pPr>
      <w:r w:rsidRPr="00BB13A2">
        <w:rPr>
          <w:rFonts w:ascii="Calibri" w:hAnsi="Calibri" w:cs="Calibri"/>
          <w:sz w:val="24"/>
          <w:lang w:val="en-US"/>
        </w:rPr>
        <w:t>Food digestion dynamics – on the bridging between food sciences and nutrition sciences, which will focus on understanding how the composition and structure of food products determines the release and uptake of nutrients.</w:t>
      </w:r>
    </w:p>
    <w:p w:rsidR="00F96B7D" w:rsidRPr="00BB13A2" w:rsidRDefault="00F96B7D" w:rsidP="00BB13A2">
      <w:pPr>
        <w:rPr>
          <w:rFonts w:cs="Calibri"/>
          <w:sz w:val="24"/>
          <w:lang w:val="en-US"/>
        </w:rPr>
      </w:pPr>
      <w:r w:rsidRPr="00BB13A2">
        <w:rPr>
          <w:rFonts w:cs="Calibri"/>
          <w:sz w:val="24"/>
          <w:lang w:val="en-US"/>
        </w:rPr>
        <w:t xml:space="preserve">The goal is to construct a </w:t>
      </w:r>
      <w:r>
        <w:rPr>
          <w:rFonts w:cs="Calibri"/>
          <w:sz w:val="24"/>
          <w:lang w:val="en-US"/>
        </w:rPr>
        <w:t xml:space="preserve">comprehensive </w:t>
      </w:r>
      <w:r w:rsidRPr="00BB13A2">
        <w:rPr>
          <w:rFonts w:cs="Calibri"/>
          <w:sz w:val="24"/>
          <w:lang w:val="en-US"/>
        </w:rPr>
        <w:t xml:space="preserve">Systems Dynamics approach providing suitable tools to manage complex systems and to deliver sound scientific bases allowing the creation of new products and </w:t>
      </w:r>
      <w:r>
        <w:rPr>
          <w:rFonts w:cs="Calibri"/>
          <w:sz w:val="24"/>
          <w:lang w:val="en-US"/>
        </w:rPr>
        <w:t>sustainable</w:t>
      </w:r>
      <w:r w:rsidRPr="00BB13A2">
        <w:rPr>
          <w:rFonts w:cs="Calibri"/>
          <w:sz w:val="24"/>
          <w:lang w:val="en-US"/>
        </w:rPr>
        <w:t xml:space="preserve"> </w:t>
      </w:r>
      <w:r>
        <w:rPr>
          <w:rFonts w:cs="Calibri"/>
          <w:sz w:val="24"/>
          <w:lang w:val="en-US"/>
        </w:rPr>
        <w:t>and safe</w:t>
      </w:r>
      <w:r w:rsidRPr="00BB13A2">
        <w:rPr>
          <w:rFonts w:cs="Calibri"/>
          <w:sz w:val="24"/>
          <w:lang w:val="en-US"/>
        </w:rPr>
        <w:t xml:space="preserve"> processes. </w:t>
      </w:r>
    </w:p>
    <w:p w:rsidR="00F96B7D" w:rsidRPr="008B197B" w:rsidRDefault="00F96B7D">
      <w:pPr>
        <w:rPr>
          <w:sz w:val="24"/>
          <w:lang w:val="en-US"/>
        </w:rPr>
      </w:pPr>
      <w:r w:rsidRPr="00BB13A2">
        <w:rPr>
          <w:sz w:val="24"/>
          <w:lang w:val="en-US"/>
        </w:rPr>
        <w:t xml:space="preserve">The ultimate mission is to supply people suitable foods for their specific needs </w:t>
      </w:r>
      <w:r>
        <w:rPr>
          <w:sz w:val="24"/>
          <w:lang w:val="en-US"/>
        </w:rPr>
        <w:t xml:space="preserve">promoting </w:t>
      </w:r>
      <w:r w:rsidRPr="00BB13A2">
        <w:rPr>
          <w:sz w:val="24"/>
          <w:lang w:val="en-US"/>
        </w:rPr>
        <w:t>at the same time</w:t>
      </w:r>
      <w:r>
        <w:rPr>
          <w:sz w:val="24"/>
          <w:lang w:val="en-US"/>
        </w:rPr>
        <w:t xml:space="preserve"> the development of zero-waste </w:t>
      </w:r>
      <w:r w:rsidRPr="00BB13A2">
        <w:rPr>
          <w:sz w:val="24"/>
          <w:lang w:val="en-US"/>
        </w:rPr>
        <w:t xml:space="preserve">sustainable </w:t>
      </w:r>
      <w:r>
        <w:rPr>
          <w:sz w:val="24"/>
          <w:lang w:val="en-US"/>
        </w:rPr>
        <w:t>circular food chains</w:t>
      </w:r>
      <w:r w:rsidR="008B197B">
        <w:rPr>
          <w:sz w:val="24"/>
          <w:lang w:val="en-US"/>
        </w:rPr>
        <w:t xml:space="preserve">. </w:t>
      </w:r>
    </w:p>
    <w:sectPr w:rsidR="00F96B7D" w:rsidRPr="008B197B" w:rsidSect="003B1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64925"/>
    <w:multiLevelType w:val="multilevel"/>
    <w:tmpl w:val="A354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72F3D"/>
    <w:multiLevelType w:val="multilevel"/>
    <w:tmpl w:val="CFD6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32715"/>
    <w:multiLevelType w:val="hybridMultilevel"/>
    <w:tmpl w:val="585638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594A2F"/>
    <w:multiLevelType w:val="hybridMultilevel"/>
    <w:tmpl w:val="65B65844"/>
    <w:lvl w:ilvl="0" w:tplc="7124F5D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C653784"/>
    <w:multiLevelType w:val="hybridMultilevel"/>
    <w:tmpl w:val="174E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38"/>
    <w:rsid w:val="002B5938"/>
    <w:rsid w:val="002E1551"/>
    <w:rsid w:val="00377ED1"/>
    <w:rsid w:val="003B11A5"/>
    <w:rsid w:val="003C24D1"/>
    <w:rsid w:val="003D1DEF"/>
    <w:rsid w:val="008B197B"/>
    <w:rsid w:val="00932425"/>
    <w:rsid w:val="00A63444"/>
    <w:rsid w:val="00BB13A2"/>
    <w:rsid w:val="00ED7F30"/>
    <w:rsid w:val="00F9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A5"/>
    <w:pPr>
      <w:spacing w:after="200" w:line="276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5938"/>
    <w:pPr>
      <w:spacing w:before="120" w:after="120" w:line="240" w:lineRule="auto"/>
      <w:ind w:left="720"/>
      <w:contextualSpacing/>
      <w:jc w:val="both"/>
    </w:pPr>
    <w:rPr>
      <w:rFonts w:ascii="Cambria" w:hAnsi="Cambria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rsid w:val="002E1551"/>
    <w:rPr>
      <w:rFonts w:cs="Times New Roman"/>
      <w:color w:val="3A84C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3C2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DA7"/>
    <w:rPr>
      <w:rFonts w:ascii="Times New Roman" w:hAnsi="Times New Roman"/>
      <w:sz w:val="0"/>
      <w:szCs w:val="0"/>
      <w:lang w:val="it-IT"/>
    </w:rPr>
  </w:style>
  <w:style w:type="character" w:styleId="Strong">
    <w:name w:val="Strong"/>
    <w:basedOn w:val="DefaultParagraphFont"/>
    <w:uiPriority w:val="99"/>
    <w:qFormat/>
    <w:locked/>
    <w:rsid w:val="003C24D1"/>
    <w:rPr>
      <w:rFonts w:cs="Times New Roman"/>
      <w:b/>
      <w:bCs/>
    </w:rPr>
  </w:style>
  <w:style w:type="character" w:customStyle="1" w:styleId="meta5">
    <w:name w:val="meta5"/>
    <w:basedOn w:val="DefaultParagraphFont"/>
    <w:uiPriority w:val="99"/>
    <w:rsid w:val="003C24D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A5"/>
    <w:pPr>
      <w:spacing w:after="200" w:line="276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5938"/>
    <w:pPr>
      <w:spacing w:before="120" w:after="120" w:line="240" w:lineRule="auto"/>
      <w:ind w:left="720"/>
      <w:contextualSpacing/>
      <w:jc w:val="both"/>
    </w:pPr>
    <w:rPr>
      <w:rFonts w:ascii="Cambria" w:hAnsi="Cambria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rsid w:val="002E1551"/>
    <w:rPr>
      <w:rFonts w:cs="Times New Roman"/>
      <w:color w:val="3A84C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3C2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DA7"/>
    <w:rPr>
      <w:rFonts w:ascii="Times New Roman" w:hAnsi="Times New Roman"/>
      <w:sz w:val="0"/>
      <w:szCs w:val="0"/>
      <w:lang w:val="it-IT"/>
    </w:rPr>
  </w:style>
  <w:style w:type="character" w:styleId="Strong">
    <w:name w:val="Strong"/>
    <w:basedOn w:val="DefaultParagraphFont"/>
    <w:uiPriority w:val="99"/>
    <w:qFormat/>
    <w:locked/>
    <w:rsid w:val="003C24D1"/>
    <w:rPr>
      <w:rFonts w:cs="Times New Roman"/>
      <w:b/>
      <w:bCs/>
    </w:rPr>
  </w:style>
  <w:style w:type="character" w:customStyle="1" w:styleId="meta5">
    <w:name w:val="meta5"/>
    <w:basedOn w:val="DefaultParagraphFont"/>
    <w:uiPriority w:val="99"/>
    <w:rsid w:val="003C24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057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05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9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geningenur.nl/en/Expertise-Services/Chair-groups/Agrotechnology-and-Food-Sciences/Food-Process-Engineering.htm" TargetMode="External"/><Relationship Id="rId13" Type="http://schemas.openxmlformats.org/officeDocument/2006/relationships/hyperlink" Target="http://www.wageningenur.nl/en/Jobs/Vacancies/Show/PhD-Food-Safety-System-Dynamics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ageningenur.nl/en/Expertise-Services/Chair-groups/Agrotechnology-and-Food-Sciences/Laboratory-of-Food-Microbiology.htm" TargetMode="External"/><Relationship Id="rId12" Type="http://schemas.openxmlformats.org/officeDocument/2006/relationships/hyperlink" Target="http://www.wageningenur.nl/en/Jobs/Vacancies/Show/PhD-Food-Design-System-Dynamics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wageningenur.nl/en/Expertise-Services/Chair-groups/Agrotechnology-and-Food-Sciences/Laboratory-of-Food-Chemistry.htm" TargetMode="External"/><Relationship Id="rId11" Type="http://schemas.openxmlformats.org/officeDocument/2006/relationships/hyperlink" Target="http://www.wageningenur.nl/en/Jobs/Vacancies/Show/PhD-Food-Microstructure-System-Dynamics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ageningenur.nl/en/Expertise-Services/Chair-groups/Agrotechnology-and-Food-Sciences/Physics-and-Physical-Chemistry-of-Food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geningenur.nl/en/Expertise-Services/Chair-groups/Agrotechnology-and-Food-Sciences/Food-Quality-and-Design-1.htm" TargetMode="External"/><Relationship Id="rId14" Type="http://schemas.openxmlformats.org/officeDocument/2006/relationships/hyperlink" Target="http://www.wageningenur.nl/en/Jobs/Vacancies/Show/PhD-Food-Digestion-Dynamics-Molecular-Aspec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System Dynamics Press release </vt:lpstr>
    </vt:vector>
  </TitlesOfParts>
  <Company>Wageningen UR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System Dynamics Press release</dc:title>
  <dc:creator>Fovo</dc:creator>
  <cp:lastModifiedBy>MHZ</cp:lastModifiedBy>
  <cp:revision>2</cp:revision>
  <dcterms:created xsi:type="dcterms:W3CDTF">2014-05-27T16:35:00Z</dcterms:created>
  <dcterms:modified xsi:type="dcterms:W3CDTF">2014-05-27T16:35:00Z</dcterms:modified>
</cp:coreProperties>
</file>